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keepNext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Латвийский университет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Факультет гуманитарных наук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Отделение русистики и славистики</w:t>
      </w:r>
    </w:p>
    <w:p>
      <w:pPr>
        <w:pStyle w:val="Body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Международная научная конференция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Глобальные и локальные процессы в славянских языках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литературах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 xml:space="preserve">культурах 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>6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»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Рига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>, 10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 –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>11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 марта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 xml:space="preserve">2022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года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Анкета участника</w:t>
      </w:r>
    </w:p>
    <w:p>
      <w:pPr>
        <w:pStyle w:val="Body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795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6"/>
        <w:gridCol w:w="1723"/>
        <w:gridCol w:w="260"/>
        <w:gridCol w:w="1839"/>
        <w:gridCol w:w="840"/>
        <w:gridCol w:w="4897"/>
      </w:tblGrid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195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Имя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фамилия</w:t>
            </w:r>
          </w:p>
        </w:tc>
        <w:tc>
          <w:tcPr>
            <w:tcW w:type="dxa" w:w="7836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" w:hRule="atLeast"/>
        </w:trPr>
        <w:tc>
          <w:tcPr>
            <w:tcW w:type="dxa" w:w="405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37"/>
            <w:gridSpan w:val="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405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Научная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академическая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степень</w:t>
            </w:r>
          </w:p>
        </w:tc>
        <w:tc>
          <w:tcPr>
            <w:tcW w:type="dxa" w:w="5737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9795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7" w:hRule="atLeast"/>
        </w:trPr>
        <w:tc>
          <w:tcPr>
            <w:tcW w:type="dxa" w:w="2219"/>
            <w:gridSpan w:val="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Место работы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 д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лжность</w:t>
            </w:r>
          </w:p>
        </w:tc>
        <w:tc>
          <w:tcPr>
            <w:tcW w:type="dxa" w:w="7576"/>
            <w:gridSpan w:val="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9795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1959"/>
            <w:gridSpan w:val="2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Тема доклада</w:t>
            </w:r>
          </w:p>
        </w:tc>
        <w:tc>
          <w:tcPr>
            <w:tcW w:type="dxa" w:w="7836"/>
            <w:gridSpan w:val="4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2" w:hRule="atLeast"/>
        </w:trPr>
        <w:tc>
          <w:tcPr>
            <w:tcW w:type="dxa" w:w="9795"/>
            <w:gridSpan w:val="6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4898"/>
            <w:gridSpan w:val="5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Краткая аннотация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около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500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знаков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type="dxa" w:w="489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9795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23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9559"/>
            <w:gridSpan w:val="5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Адрес электронной почты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указать обязательно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: </w:t>
            </w:r>
          </w:p>
        </w:tc>
      </w:tr>
    </w:tbl>
    <w:p>
      <w:pPr>
        <w:pStyle w:val="Body"/>
        <w:widowControl w:val="0"/>
        <w:spacing w:after="0" w:line="240" w:lineRule="auto"/>
        <w:ind w:left="2" w:hanging="2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Анкету участника ждем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15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2022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"mailto:natalia.shrom@gmail.com"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natalia.shrom@gmail.com</w:t>
      </w:r>
      <w:r>
        <w:rPr/>
        <w:fldChar w:fldCharType="end" w:fldLock="0"/>
      </w:r>
      <w:r>
        <w:rPr>
          <w:rStyle w:val="Hyperlink.0"/>
          <w:rtl w:val="0"/>
        </w:rPr>
        <w:t xml:space="preserve">, </w:t>
      </w:r>
      <w:bookmarkStart w:name="_Hlk57647292" w:id="0"/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bookmarkEnd w:id="0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"mailto:spogodina@inbox.lv"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spogodina</w:t>
      </w:r>
      <w:r>
        <w:rPr>
          <w:rStyle w:val="Hyperlink.0"/>
          <w:rtl w:val="0"/>
        </w:rPr>
        <w:t>@</w:t>
      </w:r>
      <w:r>
        <w:rPr>
          <w:rStyle w:val="Hyperlink.1"/>
          <w:rtl w:val="0"/>
          <w:lang w:val="en-US"/>
        </w:rPr>
        <w:t>inbox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lv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"mailto:rozanna.kurpniece@gmail.com"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rozanna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kurpniece</w:t>
      </w:r>
      <w:r>
        <w:rPr>
          <w:rStyle w:val="Hyperlink.0"/>
          <w:rtl w:val="0"/>
        </w:rPr>
        <w:t>@</w:t>
      </w:r>
      <w:r>
        <w:rPr>
          <w:rStyle w:val="Hyperlink.1"/>
          <w:rtl w:val="0"/>
          <w:lang w:val="en-US"/>
        </w:rPr>
        <w:t>gmail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com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пометкой 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Конференция 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</w:rPr>
        <w:t>).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sz w:val="24"/>
      <w:szCs w:val="24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