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Федеральное государственное бюджетное образовательное учреждение высшего образования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«Всероссийский государственный институт кинематографии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имени 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Герасимова»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Кафедра эстетики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истории и теории культуры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129226,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Москва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Вильгельма Пика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sz w:val="20"/>
          <w:szCs w:val="20"/>
          <w:rtl w:val="0"/>
          <w:lang w:val="ru-RU"/>
        </w:rPr>
        <w:t>. 3</w:t>
      </w:r>
    </w:p>
    <w:p>
      <w:pPr>
        <w:pStyle w:val="Normal.0"/>
        <w:jc w:val="center"/>
      </w:pPr>
      <w:r>
        <w:drawing>
          <wp:inline distT="0" distB="0" distL="0" distR="0">
            <wp:extent cx="847725" cy="1025750"/>
            <wp:effectExtent l="0" t="0" r="0" b="0"/>
            <wp:docPr id="1073741825" name="officeArt object" descr="C:\Users\dom\Desktop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om\Desktop\логотип.jpg" descr="C:\Users\dom\Desktop\логотип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25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«Личность и социальные модели в кино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</w:p>
    <w:p>
      <w:pPr>
        <w:pStyle w:val="No Spacing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fiction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 и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non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fiction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»</w:t>
      </w:r>
    </w:p>
    <w:p>
      <w:pPr>
        <w:pStyle w:val="No Spacing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‒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410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20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p>
      <w:pPr>
        <w:pStyle w:val="Normal.0"/>
        <w:ind w:firstLine="22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Регистрационный бланк участника конференции</w:t>
      </w:r>
    </w:p>
    <w:p>
      <w:pPr>
        <w:pStyle w:val="Normal.0"/>
        <w:ind w:firstLine="22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5"/>
        <w:gridCol w:w="6459"/>
      </w:tblGrid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ФИО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clear" w:color="auto" w:fill="ffffff"/>
                <w:rtl w:val="0"/>
                <w:lang w:val="ru-RU"/>
              </w:rPr>
              <w:t xml:space="preserve">Место учебы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clear" w:color="auto" w:fill="ffffff"/>
                <w:rtl w:val="0"/>
                <w:lang w:val="ru-RU"/>
              </w:rPr>
              <w:t>полное название учебного заведения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rtl w:val="0"/>
                <w:lang w:val="ru-RU"/>
              </w:rPr>
              <w:t>)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Факультет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 указанием подразделения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кафедры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мастерской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Направление обучения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курс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Номер телефона 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Электронный адрес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Тема доклада 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firstLine="3385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